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38" w:rsidRPr="00457238" w:rsidRDefault="00457238" w:rsidP="00457238">
      <w:pPr>
        <w:shd w:val="clear" w:color="auto" w:fill="FFFFFF"/>
        <w:spacing w:after="225" w:line="240" w:lineRule="auto"/>
        <w:outlineLvl w:val="0"/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457238"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  <w:t>Декрет № 6 от 28 декабря 2014 года</w:t>
      </w:r>
    </w:p>
    <w:p w:rsidR="00457238" w:rsidRPr="00457238" w:rsidRDefault="00457238" w:rsidP="00457238">
      <w:pPr>
        <w:shd w:val="clear" w:color="auto" w:fill="FFFFFF"/>
        <w:spacing w:after="0" w:line="240" w:lineRule="auto"/>
        <w:jc w:val="both"/>
        <w:outlineLvl w:val="0"/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457238"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  <w:t>О неотложных мерах по противодействию незаконному обороту наркотиков</w:t>
      </w:r>
    </w:p>
    <w:p w:rsidR="00457238" w:rsidRPr="00457238" w:rsidRDefault="00457238" w:rsidP="00457238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  п о с т а н о в л я ю: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1. 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 В этих целях Совету Министров Республики  Беларусь: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Беларусь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Для осуществления указанных полномочий Министерство внутренних дел: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незаконному обороту наркотиков;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3. Для целей настоящего Декрета используемые термины, если не установлено иное, имеют следующие значения: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базовая структура – указанная в Республиканском перечне наркотических средств, психотропных веществ и их прекурсоров,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владелец информационного ресурса, размещенного в глобальной компьютерной сети Интернет (далее – владелец интернет-ресурса),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 – информационные ресурсы);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наркотики – наркотические средства, психотропные вещества либо их прекурсоры и аналоги;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4. Установить, что: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4.1. незаконные с целью сбыта изготовление, переработка, приобретение, хранение, 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перевозка, пересылка или незаконный сбыт наркотических средств, психотропных веществ либо их прекурсоров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 конфискацией имущества или без конфискации;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прекурсоров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– наказываются лишением свободы на срок от десяти до двадцати лет с конфискацией имущества или без конфискации;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 лишением свободы на срок от пяти до десяти лет с конфискацией имущества или без конфискации;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7. 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 совершения таких действий.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8. Владельцы интернет-ресурсов обязаны: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10. При наличии информации о размещении сообщений и (или) материалов, направленных на 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 и 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11. Определить, что: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 одурманивающих веществ, – влечет наложение штрафа в размере от восьми до двенадцати базовых величин;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наложение штрафа в размере от десяти до пятнадцати базовых величин;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также неинформирование органов внутренних дел о выявлении фактов совершения таких действий, если в этом деянии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11.5. неисполнение владельцами интернет-ресурсов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12. Предоставить право: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 xml:space="preserve">Порядок организации работы по выявлению и учету лиц, потребляющих наркотические 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14. 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 безопасности;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г.Минску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lastRenderedPageBreak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19. Совету Министров Республики Беларусь: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19.2. в двухмесячный срок: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принять меры по: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20. Настоящий Декрет вступает в силу с 1 января 2015 г.</w:t>
      </w:r>
      <w:r w:rsidRPr="0045723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br/>
        <w:t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Процессуально-исполнительный кодекс Республики Беларусь об административных  правонарушениях.</w:t>
      </w:r>
    </w:p>
    <w:p w:rsidR="00326DC8" w:rsidRDefault="00326DC8">
      <w:bookmarkStart w:id="0" w:name="_GoBack"/>
      <w:bookmarkEnd w:id="0"/>
    </w:p>
    <w:sectPr w:rsidR="00326DC8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CondensedMedium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38"/>
    <w:rsid w:val="0000120A"/>
    <w:rsid w:val="00002D1B"/>
    <w:rsid w:val="00014D4B"/>
    <w:rsid w:val="00020D09"/>
    <w:rsid w:val="00056FA7"/>
    <w:rsid w:val="000614D7"/>
    <w:rsid w:val="000668D6"/>
    <w:rsid w:val="00067B82"/>
    <w:rsid w:val="0007542F"/>
    <w:rsid w:val="00076802"/>
    <w:rsid w:val="0009552B"/>
    <w:rsid w:val="000A252B"/>
    <w:rsid w:val="000B34C2"/>
    <w:rsid w:val="000D430F"/>
    <w:rsid w:val="000D6E20"/>
    <w:rsid w:val="000E3393"/>
    <w:rsid w:val="000F3887"/>
    <w:rsid w:val="000F5C28"/>
    <w:rsid w:val="0011156C"/>
    <w:rsid w:val="001148FE"/>
    <w:rsid w:val="00121486"/>
    <w:rsid w:val="00125608"/>
    <w:rsid w:val="001263E6"/>
    <w:rsid w:val="0014581D"/>
    <w:rsid w:val="0015027B"/>
    <w:rsid w:val="00155B07"/>
    <w:rsid w:val="001658C3"/>
    <w:rsid w:val="00175F5D"/>
    <w:rsid w:val="0018084B"/>
    <w:rsid w:val="001815B7"/>
    <w:rsid w:val="00197C77"/>
    <w:rsid w:val="001A5749"/>
    <w:rsid w:val="001B3FFB"/>
    <w:rsid w:val="001D170C"/>
    <w:rsid w:val="001D305D"/>
    <w:rsid w:val="001D3A51"/>
    <w:rsid w:val="001D4682"/>
    <w:rsid w:val="001F40DB"/>
    <w:rsid w:val="0022073A"/>
    <w:rsid w:val="00227B1E"/>
    <w:rsid w:val="00237603"/>
    <w:rsid w:val="00241A4A"/>
    <w:rsid w:val="00251B9B"/>
    <w:rsid w:val="0028266F"/>
    <w:rsid w:val="002A4BBA"/>
    <w:rsid w:val="002A7BD3"/>
    <w:rsid w:val="002C3FD4"/>
    <w:rsid w:val="002C76B1"/>
    <w:rsid w:val="002D6950"/>
    <w:rsid w:val="002E0158"/>
    <w:rsid w:val="002E5C39"/>
    <w:rsid w:val="002F24AC"/>
    <w:rsid w:val="002F3330"/>
    <w:rsid w:val="002F3FCB"/>
    <w:rsid w:val="00300912"/>
    <w:rsid w:val="00305F48"/>
    <w:rsid w:val="0031162A"/>
    <w:rsid w:val="00320CDE"/>
    <w:rsid w:val="003221B0"/>
    <w:rsid w:val="00323540"/>
    <w:rsid w:val="00323DA3"/>
    <w:rsid w:val="00326DC8"/>
    <w:rsid w:val="00351D71"/>
    <w:rsid w:val="00363DF4"/>
    <w:rsid w:val="0037614A"/>
    <w:rsid w:val="00384CBF"/>
    <w:rsid w:val="003A1EC4"/>
    <w:rsid w:val="003A6ADF"/>
    <w:rsid w:val="003A6CB3"/>
    <w:rsid w:val="003B0818"/>
    <w:rsid w:val="003C719B"/>
    <w:rsid w:val="003D00A7"/>
    <w:rsid w:val="003D43AA"/>
    <w:rsid w:val="003D5ED0"/>
    <w:rsid w:val="003D72FF"/>
    <w:rsid w:val="003D747D"/>
    <w:rsid w:val="003E6CEF"/>
    <w:rsid w:val="003F6F06"/>
    <w:rsid w:val="00406D79"/>
    <w:rsid w:val="004079DC"/>
    <w:rsid w:val="00407E16"/>
    <w:rsid w:val="0042100E"/>
    <w:rsid w:val="00422D66"/>
    <w:rsid w:val="00427FD5"/>
    <w:rsid w:val="004337F2"/>
    <w:rsid w:val="004421FA"/>
    <w:rsid w:val="00445E8D"/>
    <w:rsid w:val="00451209"/>
    <w:rsid w:val="00451EBA"/>
    <w:rsid w:val="00457238"/>
    <w:rsid w:val="004634E1"/>
    <w:rsid w:val="0047011E"/>
    <w:rsid w:val="0048548A"/>
    <w:rsid w:val="00493124"/>
    <w:rsid w:val="004A760C"/>
    <w:rsid w:val="004B0A90"/>
    <w:rsid w:val="004B5E5B"/>
    <w:rsid w:val="004B62C6"/>
    <w:rsid w:val="004C0079"/>
    <w:rsid w:val="004C3AF9"/>
    <w:rsid w:val="004D764B"/>
    <w:rsid w:val="004E6D7C"/>
    <w:rsid w:val="004F47F2"/>
    <w:rsid w:val="004F63D7"/>
    <w:rsid w:val="004F7835"/>
    <w:rsid w:val="00521652"/>
    <w:rsid w:val="00545411"/>
    <w:rsid w:val="00550F6E"/>
    <w:rsid w:val="0057681E"/>
    <w:rsid w:val="005851DA"/>
    <w:rsid w:val="0059706A"/>
    <w:rsid w:val="005A0952"/>
    <w:rsid w:val="005A61AF"/>
    <w:rsid w:val="005A639F"/>
    <w:rsid w:val="005B0DEF"/>
    <w:rsid w:val="005B3139"/>
    <w:rsid w:val="005B4B6D"/>
    <w:rsid w:val="005B5627"/>
    <w:rsid w:val="005C05A5"/>
    <w:rsid w:val="005C076F"/>
    <w:rsid w:val="005C13F5"/>
    <w:rsid w:val="005C2CA5"/>
    <w:rsid w:val="005E534D"/>
    <w:rsid w:val="005F1C86"/>
    <w:rsid w:val="00600FC3"/>
    <w:rsid w:val="00606716"/>
    <w:rsid w:val="0061017B"/>
    <w:rsid w:val="00611D27"/>
    <w:rsid w:val="00615D96"/>
    <w:rsid w:val="00617524"/>
    <w:rsid w:val="00625AD5"/>
    <w:rsid w:val="00625F29"/>
    <w:rsid w:val="00632A01"/>
    <w:rsid w:val="006333BB"/>
    <w:rsid w:val="00635888"/>
    <w:rsid w:val="006425C3"/>
    <w:rsid w:val="006464E0"/>
    <w:rsid w:val="00652E3A"/>
    <w:rsid w:val="00655C5D"/>
    <w:rsid w:val="00661ED9"/>
    <w:rsid w:val="006650E4"/>
    <w:rsid w:val="0067597F"/>
    <w:rsid w:val="006808E2"/>
    <w:rsid w:val="00683A7A"/>
    <w:rsid w:val="00685268"/>
    <w:rsid w:val="006A6B8A"/>
    <w:rsid w:val="006C0AA6"/>
    <w:rsid w:val="006D5E74"/>
    <w:rsid w:val="006D684F"/>
    <w:rsid w:val="006D7D1D"/>
    <w:rsid w:val="006E3DE3"/>
    <w:rsid w:val="006E7635"/>
    <w:rsid w:val="006F2CAD"/>
    <w:rsid w:val="006F39B1"/>
    <w:rsid w:val="006F53C1"/>
    <w:rsid w:val="006F5F7E"/>
    <w:rsid w:val="006F695B"/>
    <w:rsid w:val="007072D6"/>
    <w:rsid w:val="00732A00"/>
    <w:rsid w:val="00745A6B"/>
    <w:rsid w:val="00754911"/>
    <w:rsid w:val="007560AD"/>
    <w:rsid w:val="00763397"/>
    <w:rsid w:val="0076773E"/>
    <w:rsid w:val="00767936"/>
    <w:rsid w:val="00775748"/>
    <w:rsid w:val="00785A46"/>
    <w:rsid w:val="007D1669"/>
    <w:rsid w:val="007D5E4F"/>
    <w:rsid w:val="007E6A55"/>
    <w:rsid w:val="007F135A"/>
    <w:rsid w:val="007F719F"/>
    <w:rsid w:val="008202E7"/>
    <w:rsid w:val="0082755E"/>
    <w:rsid w:val="00832893"/>
    <w:rsid w:val="0083730C"/>
    <w:rsid w:val="00852137"/>
    <w:rsid w:val="00863EED"/>
    <w:rsid w:val="00871E2F"/>
    <w:rsid w:val="0088075D"/>
    <w:rsid w:val="00895456"/>
    <w:rsid w:val="00896DCE"/>
    <w:rsid w:val="008A395C"/>
    <w:rsid w:val="008A4FE1"/>
    <w:rsid w:val="008C1F6E"/>
    <w:rsid w:val="008C38CF"/>
    <w:rsid w:val="008D5A87"/>
    <w:rsid w:val="008E7276"/>
    <w:rsid w:val="00904CA7"/>
    <w:rsid w:val="00917376"/>
    <w:rsid w:val="00921F15"/>
    <w:rsid w:val="00922504"/>
    <w:rsid w:val="00933680"/>
    <w:rsid w:val="0093713B"/>
    <w:rsid w:val="009375BB"/>
    <w:rsid w:val="00941E70"/>
    <w:rsid w:val="00941ED5"/>
    <w:rsid w:val="00957D33"/>
    <w:rsid w:val="00975F5D"/>
    <w:rsid w:val="00976455"/>
    <w:rsid w:val="00976C6E"/>
    <w:rsid w:val="00985F87"/>
    <w:rsid w:val="009A69C8"/>
    <w:rsid w:val="009B48A4"/>
    <w:rsid w:val="009B4A03"/>
    <w:rsid w:val="009B582E"/>
    <w:rsid w:val="009C0B7D"/>
    <w:rsid w:val="009C1E73"/>
    <w:rsid w:val="009D4573"/>
    <w:rsid w:val="009E3135"/>
    <w:rsid w:val="009F7AB9"/>
    <w:rsid w:val="00A24235"/>
    <w:rsid w:val="00A2624B"/>
    <w:rsid w:val="00A34704"/>
    <w:rsid w:val="00A3527E"/>
    <w:rsid w:val="00A5668C"/>
    <w:rsid w:val="00A56E4A"/>
    <w:rsid w:val="00A65208"/>
    <w:rsid w:val="00A67833"/>
    <w:rsid w:val="00A74880"/>
    <w:rsid w:val="00A757E1"/>
    <w:rsid w:val="00A7664D"/>
    <w:rsid w:val="00A771CC"/>
    <w:rsid w:val="00A80BC4"/>
    <w:rsid w:val="00A96230"/>
    <w:rsid w:val="00AA20E6"/>
    <w:rsid w:val="00AA2B9C"/>
    <w:rsid w:val="00AA59C1"/>
    <w:rsid w:val="00AD6D4D"/>
    <w:rsid w:val="00AE3A0C"/>
    <w:rsid w:val="00AE5AF4"/>
    <w:rsid w:val="00AF74B5"/>
    <w:rsid w:val="00B24CEE"/>
    <w:rsid w:val="00B26620"/>
    <w:rsid w:val="00B34245"/>
    <w:rsid w:val="00B42243"/>
    <w:rsid w:val="00B43E17"/>
    <w:rsid w:val="00B5528F"/>
    <w:rsid w:val="00B577DC"/>
    <w:rsid w:val="00B6035D"/>
    <w:rsid w:val="00B623C9"/>
    <w:rsid w:val="00B7121B"/>
    <w:rsid w:val="00B76A75"/>
    <w:rsid w:val="00B81207"/>
    <w:rsid w:val="00B828DD"/>
    <w:rsid w:val="00B85417"/>
    <w:rsid w:val="00B86114"/>
    <w:rsid w:val="00BA0A02"/>
    <w:rsid w:val="00BB467B"/>
    <w:rsid w:val="00BB4939"/>
    <w:rsid w:val="00BC070C"/>
    <w:rsid w:val="00BE2FB3"/>
    <w:rsid w:val="00BE4940"/>
    <w:rsid w:val="00BE554A"/>
    <w:rsid w:val="00BF128A"/>
    <w:rsid w:val="00C000C7"/>
    <w:rsid w:val="00C00B82"/>
    <w:rsid w:val="00C05F2D"/>
    <w:rsid w:val="00C17819"/>
    <w:rsid w:val="00C20F4A"/>
    <w:rsid w:val="00C2493D"/>
    <w:rsid w:val="00C24E6C"/>
    <w:rsid w:val="00C264CD"/>
    <w:rsid w:val="00C3355B"/>
    <w:rsid w:val="00C3689B"/>
    <w:rsid w:val="00C36C1C"/>
    <w:rsid w:val="00C43C1B"/>
    <w:rsid w:val="00C73985"/>
    <w:rsid w:val="00C82265"/>
    <w:rsid w:val="00C91098"/>
    <w:rsid w:val="00C943B5"/>
    <w:rsid w:val="00CB4754"/>
    <w:rsid w:val="00CC088D"/>
    <w:rsid w:val="00CD5B3D"/>
    <w:rsid w:val="00CD5F59"/>
    <w:rsid w:val="00CD6D29"/>
    <w:rsid w:val="00CE6BE1"/>
    <w:rsid w:val="00D1119A"/>
    <w:rsid w:val="00D12597"/>
    <w:rsid w:val="00D1395F"/>
    <w:rsid w:val="00D3028A"/>
    <w:rsid w:val="00D337DE"/>
    <w:rsid w:val="00D37FF4"/>
    <w:rsid w:val="00D558E4"/>
    <w:rsid w:val="00D5673C"/>
    <w:rsid w:val="00D60388"/>
    <w:rsid w:val="00D6119F"/>
    <w:rsid w:val="00D61D0F"/>
    <w:rsid w:val="00D676B6"/>
    <w:rsid w:val="00D72AB6"/>
    <w:rsid w:val="00D756B0"/>
    <w:rsid w:val="00D77D59"/>
    <w:rsid w:val="00D9129C"/>
    <w:rsid w:val="00D9369D"/>
    <w:rsid w:val="00DA4538"/>
    <w:rsid w:val="00DD45DD"/>
    <w:rsid w:val="00DD4BB2"/>
    <w:rsid w:val="00DD5088"/>
    <w:rsid w:val="00DE4270"/>
    <w:rsid w:val="00DF04DB"/>
    <w:rsid w:val="00DF30AC"/>
    <w:rsid w:val="00E00D1D"/>
    <w:rsid w:val="00E018FB"/>
    <w:rsid w:val="00E0278F"/>
    <w:rsid w:val="00E045DE"/>
    <w:rsid w:val="00E1243D"/>
    <w:rsid w:val="00E13694"/>
    <w:rsid w:val="00E175E2"/>
    <w:rsid w:val="00E211BB"/>
    <w:rsid w:val="00E239C2"/>
    <w:rsid w:val="00E23DAE"/>
    <w:rsid w:val="00E31752"/>
    <w:rsid w:val="00E35DE9"/>
    <w:rsid w:val="00E54C2E"/>
    <w:rsid w:val="00E66687"/>
    <w:rsid w:val="00E83F45"/>
    <w:rsid w:val="00E91AB5"/>
    <w:rsid w:val="00E91B9D"/>
    <w:rsid w:val="00E97865"/>
    <w:rsid w:val="00E97972"/>
    <w:rsid w:val="00EA2337"/>
    <w:rsid w:val="00EA2FDE"/>
    <w:rsid w:val="00EA4507"/>
    <w:rsid w:val="00EA4F58"/>
    <w:rsid w:val="00EC3992"/>
    <w:rsid w:val="00ED0ED0"/>
    <w:rsid w:val="00ED27FB"/>
    <w:rsid w:val="00ED28D5"/>
    <w:rsid w:val="00ED6413"/>
    <w:rsid w:val="00EE00A4"/>
    <w:rsid w:val="00F00BB9"/>
    <w:rsid w:val="00F01142"/>
    <w:rsid w:val="00F02193"/>
    <w:rsid w:val="00F03958"/>
    <w:rsid w:val="00F1027E"/>
    <w:rsid w:val="00F14F06"/>
    <w:rsid w:val="00F27737"/>
    <w:rsid w:val="00F40BD8"/>
    <w:rsid w:val="00F4799F"/>
    <w:rsid w:val="00F53231"/>
    <w:rsid w:val="00F62D25"/>
    <w:rsid w:val="00F73AB9"/>
    <w:rsid w:val="00F8506F"/>
    <w:rsid w:val="00F8574A"/>
    <w:rsid w:val="00FA060D"/>
    <w:rsid w:val="00FA43FD"/>
    <w:rsid w:val="00FA653D"/>
    <w:rsid w:val="00FB24E0"/>
    <w:rsid w:val="00FB2A7B"/>
    <w:rsid w:val="00FB2C34"/>
    <w:rsid w:val="00FB2E65"/>
    <w:rsid w:val="00FB3BE4"/>
    <w:rsid w:val="00FC1902"/>
    <w:rsid w:val="00FC1EDF"/>
    <w:rsid w:val="00FD10D4"/>
    <w:rsid w:val="00FD11A6"/>
    <w:rsid w:val="00FD12E6"/>
    <w:rsid w:val="00FD3DEE"/>
    <w:rsid w:val="00FD7911"/>
    <w:rsid w:val="00FE0274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FB9D-915E-4AE8-9647-36E60FCA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link w:val="10"/>
    <w:uiPriority w:val="9"/>
    <w:qFormat/>
    <w:rsid w:val="00457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3832</Words>
  <Characters>21844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</cp:revision>
  <dcterms:created xsi:type="dcterms:W3CDTF">2022-01-11T11:26:00Z</dcterms:created>
  <dcterms:modified xsi:type="dcterms:W3CDTF">2022-01-11T11:26:00Z</dcterms:modified>
</cp:coreProperties>
</file>